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BDD89"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bidi="ar"/>
        </w:rPr>
        <w:t>香港牡蛎</w:t>
      </w:r>
    </w:p>
    <w:p w14:paraId="5941F70C"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ascii="黑体" w:hAnsi="黑体" w:eastAsia="黑体" w:cs="黑体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Cs/>
          <w:sz w:val="24"/>
          <w:szCs w:val="24"/>
          <w:lang w:bidi="ar"/>
        </w:rPr>
        <w:t>Xianggangmuli</w:t>
      </w:r>
      <w:bookmarkStart w:id="2" w:name="_GoBack"/>
      <w:bookmarkEnd w:id="2"/>
    </w:p>
    <w:p w14:paraId="13E3A54D"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>C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>RASSOSTREA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  <w:t>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 xml:space="preserve"> HONGKONGENSIS 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  <w:t>CONCHA</w:t>
      </w:r>
    </w:p>
    <w:p w14:paraId="165D51AA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本品为牡蛎科动物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香港牡蛎</w:t>
      </w:r>
      <w:r>
        <w:rPr>
          <w:rFonts w:ascii="Times New Roman" w:hAnsi="Times New Roman" w:eastAsia="宋体" w:cs="Times New Roman"/>
          <w:bCs/>
          <w:i/>
          <w:iCs/>
          <w:sz w:val="24"/>
          <w:szCs w:val="24"/>
          <w:lang w:bidi="ar"/>
        </w:rPr>
        <w:t>Crassostrea hongkongensis</w:t>
      </w:r>
      <w:r>
        <w:rPr>
          <w:rFonts w:hint="eastAsia" w:ascii="Times New Roman" w:hAnsi="Times New Roman" w:eastAsia="宋体" w:cs="Times New Roman"/>
          <w:bCs/>
          <w:i/>
          <w:iCs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Lam et Morton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的贝壳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。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全年均可捕捞，去肉，洗净，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干燥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 w14:paraId="7BC4C16A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宋体"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【性状】</w:t>
      </w:r>
      <w:bookmarkStart w:id="0" w:name="_Hlk211325137"/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本品呈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</w:rPr>
        <w:t>不规则长卵圆形、长</w:t>
      </w:r>
      <w:r>
        <w:rPr>
          <w:rFonts w:hint="eastAsia" w:ascii="Segoe UI" w:hAnsi="Segoe UI" w:eastAsia="宋体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  <w:lang w:val="en-US" w:eastAsia="zh-CN"/>
        </w:rPr>
        <w:t>条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</w:rPr>
        <w:t>形或类三角形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，长8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～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20cm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，高5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～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2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cm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右壳较小，略扁平，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鳞片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层状或层纹状排列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表面常具波状弯曲；壳外面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</w:rPr>
        <w:t>黄褐色、灰褐色或浅灰色，鳞片边缘常因附着藻类而呈现绿色或绿褐色</w:t>
      </w:r>
      <w:r>
        <w:rPr>
          <w:rFonts w:hint="eastAsia" w:ascii="Segoe UI" w:hAnsi="Segoe UI" w:eastAsia="宋体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  <w:lang w:eastAsia="zh-CN"/>
        </w:rPr>
        <w:t>；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</w:rPr>
        <w:t>内面瓷白色，壳顶二侧无小齿，凹陷浅。</w:t>
      </w:r>
      <w:r>
        <w:rPr>
          <w:rFonts w:hint="eastAsia" w:ascii="Segoe UI" w:hAnsi="Segoe UI" w:eastAsia="宋体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  <w:lang w:val="en-US" w:eastAsia="zh-CN"/>
        </w:rPr>
        <w:t>左壳大而厚，内面凹陷深，鳞片较右壳粗大，附着面小；内面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</w:rPr>
        <w:t>瓷白色，</w:t>
      </w:r>
      <w:r>
        <w:rPr>
          <w:rFonts w:hint="eastAsia" w:ascii="Segoe UI" w:hAnsi="Segoe UI" w:eastAsia="宋体" w:cs="Segoe UI"/>
          <w:i w:val="0"/>
          <w:iCs w:val="0"/>
          <w:caps w:val="0"/>
          <w:color w:val="000000"/>
          <w:spacing w:val="-2"/>
          <w:sz w:val="24"/>
          <w:szCs w:val="24"/>
          <w:shd w:val="clear" w:fill="FFFFFF"/>
          <w:lang w:val="en-US" w:eastAsia="zh-CN"/>
        </w:rPr>
        <w:t>闭壳肌痕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紫黑色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至黑褐色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。</w:t>
      </w:r>
      <w:r>
        <w:rPr>
          <w:rFonts w:hint="eastAsia" w:ascii="Times New Roman" w:hAnsi="Times New Roman" w:eastAsia="宋体" w:cs="宋体"/>
          <w:sz w:val="24"/>
          <w:szCs w:val="24"/>
          <w:lang w:bidi="ar"/>
        </w:rPr>
        <w:t>质硬，断面层状，洁白。气微，味微咸。</w:t>
      </w:r>
      <w:bookmarkEnd w:id="0"/>
    </w:p>
    <w:p w14:paraId="492BFFF2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【鉴别】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（1）</w:t>
      </w:r>
      <w:bookmarkStart w:id="1" w:name="OLE_LINK124"/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本品粉末灰白色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 w:bidi="ar"/>
        </w:rPr>
        <w:t>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珍珠层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呈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不规则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碎块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，较大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者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呈条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状或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片状，表面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隐约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可见细小条纹。棱柱层碎片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断面观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呈棱柱状，断端平截，有的一端渐尖；表面观呈类多角形</w:t>
      </w:r>
      <w:bookmarkEnd w:id="1"/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 w14:paraId="06E43F04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（2）取本品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粉末2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g，研细，加稀盐酸15m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l，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滤过，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滤液用氢氧化钠试液调节pH值至10，静置，离心（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转速为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每分钟12000转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10分钟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，取沉淀置15m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安瓿中，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加6.0mol/L盐酸10m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，150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℃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水解1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小时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。水解液蒸干，残渣加10%异丙醇-0.1mol/L盐酸溶液1m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使溶解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，作为供试品溶液。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另取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香港牡蛎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对照药材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2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g，同法制成对照药材溶液。照薄层色谱法（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《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中国药典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》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202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5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年版通则0502）试验，吸取上述两种溶液各2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～5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μ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，分别点于同一硅胶G薄层板上，以正丁醇-冰醋酸-水-丙酮-无水乙醇-0.5%茚三酮丙酮溶液（40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14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12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4）为展开剂，展开，取出，晾干，在105℃加热至斑点显色清晰。供试品色谱中，在与对照药材色谱相应的位置上，显相同颜色的斑点。</w:t>
      </w:r>
    </w:p>
    <w:p w14:paraId="4B79DD43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【检查】酸不溶性灰分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 xml:space="preserve"> 取本品粉末2g，置炽灼至恒重的坩埚中，炽灼至完全灰化，加入稀盐酸约20ml，照灰分测定法（《中国药典》2025年版通则2302）测定，不得过2.0%</w:t>
      </w:r>
      <w:r>
        <w:rPr>
          <w:rFonts w:ascii="Times New Roman" w:hAnsi="Times New Roman" w:cs="Times New Roman"/>
          <w:color w:val="000000"/>
          <w:sz w:val="24"/>
        </w:rPr>
        <w:t>。</w:t>
      </w:r>
    </w:p>
    <w:p w14:paraId="37D99849">
      <w:pPr>
        <w:pStyle w:val="9"/>
        <w:autoSpaceDN w:val="0"/>
        <w:adjustRightInd w:val="0"/>
        <w:spacing w:line="360" w:lineRule="auto"/>
        <w:ind w:left="0" w:firstLine="480" w:firstLineChars="200"/>
        <w:rPr>
          <w:rFonts w:hint="default" w:ascii="Times New Roman" w:hAnsi="Times New Roman" w:cs="Times New Roman" w:eastAsiaTheme="minorEastAsia"/>
          <w:color w:val="000000"/>
          <w:sz w:val="24"/>
          <w:lang w:val="en-US" w:eastAsia="zh-CN"/>
        </w:rPr>
      </w:pPr>
      <w:r>
        <w:rPr>
          <w:rFonts w:hint="eastAsia" w:ascii="黑体" w:hAnsi="黑体" w:eastAsia="黑体" w:cs="Times New Roman"/>
          <w:bCs/>
          <w:color w:val="auto"/>
          <w:sz w:val="24"/>
          <w:szCs w:val="24"/>
          <w:lang w:val="en-US" w:eastAsia="zh-CN" w:bidi="ar"/>
        </w:rPr>
        <w:t>重金属及有害元素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照铅、镉、砷、汞、铜测定法（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《中国药典》2025年版通则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2321原子吸收分光光度法或电感耦合等离子体质谱法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）测定，铅不得过5mg/kg，镉不得过0.3mg/kg，砷不得过2mg/kg，汞不得过0.2mg/kg，铜不得过20mg/kg。</w:t>
      </w:r>
    </w:p>
    <w:p w14:paraId="183B9A8B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【含量测定】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取本品细粉约0.15g，精密称定，置锥形瓶中，加稀盐酸10m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，加热使溶解，加水20m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与甲基红指示液1滴，滴加10%氢氧化钾溶液至溶液显黄色，继续多加10m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，再加钙黄绿素指示剂少量，用乙二胺四醋酸二钠滴定液（0.05mol/L）滴定至溶液黄绿色荧光消失而显橙色。每1m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乙二胺四醋酸二钠滴定液（0.05mol/L）相当于5.004mg的碳酸钙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（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CaCO</w:t>
      </w:r>
      <w:r>
        <w:rPr>
          <w:rFonts w:ascii="Times New Roman" w:hAnsi="Times New Roman" w:eastAsia="宋体" w:cs="Times New Roman"/>
          <w:bCs/>
          <w:sz w:val="24"/>
          <w:szCs w:val="24"/>
          <w:vertAlign w:val="subscript"/>
          <w:lang w:bidi="ar"/>
        </w:rPr>
        <w:t>3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）</w:t>
      </w:r>
      <w:r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  <w:t>。</w:t>
      </w:r>
    </w:p>
    <w:p w14:paraId="5086ED78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本品含碳酸钙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（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CaCO</w:t>
      </w:r>
      <w:r>
        <w:rPr>
          <w:rFonts w:ascii="Times New Roman" w:hAnsi="Times New Roman" w:eastAsia="宋体" w:cs="Times New Roman"/>
          <w:bCs/>
          <w:sz w:val="24"/>
          <w:szCs w:val="24"/>
          <w:vertAlign w:val="subscript"/>
          <w:lang w:bidi="ar"/>
        </w:rPr>
        <w:t>3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）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不得少于94.0%。</w:t>
      </w:r>
    </w:p>
    <w:p w14:paraId="729BF14B">
      <w:pPr>
        <w:autoSpaceDN w:val="0"/>
        <w:adjustRightInd w:val="0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 w14:paraId="1F3179D7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【性味与归经】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咸，微寒。归肝、胆、肾经。</w:t>
      </w:r>
    </w:p>
    <w:p w14:paraId="525FBC2D"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【功能与主治】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重镇安神，潜阳补阴，软坚散结。用于惊悸失眠，眩晕耳鸣，瘰疬痰核，癥瘕痞块。</w:t>
      </w:r>
    </w:p>
    <w:p w14:paraId="4F75C033">
      <w:pPr>
        <w:pStyle w:val="9"/>
        <w:autoSpaceDE w:val="0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【用法与用量】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15～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6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0g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先煎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 w14:paraId="279B9BC1">
      <w:pPr>
        <w:ind w:firstLine="480" w:firstLineChars="200"/>
        <w:rPr>
          <w:rFonts w:eastAsia="宋体"/>
        </w:rPr>
      </w:pPr>
      <w:r>
        <w:rPr>
          <w:rFonts w:ascii="黑体" w:hAnsi="黑体" w:eastAsia="黑体" w:cs="Times New Roman"/>
          <w:bCs/>
          <w:sz w:val="24"/>
          <w:szCs w:val="24"/>
          <w:lang w:bidi="ar"/>
        </w:rPr>
        <w:t>【贮藏】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置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01"/>
    <w:rsid w:val="00062D82"/>
    <w:rsid w:val="000E636D"/>
    <w:rsid w:val="00235D9F"/>
    <w:rsid w:val="0024339C"/>
    <w:rsid w:val="00362DB4"/>
    <w:rsid w:val="00683BFE"/>
    <w:rsid w:val="008D7307"/>
    <w:rsid w:val="00C81601"/>
    <w:rsid w:val="00CF041B"/>
    <w:rsid w:val="00CF366F"/>
    <w:rsid w:val="00D812F0"/>
    <w:rsid w:val="00E62591"/>
    <w:rsid w:val="00EB0E99"/>
    <w:rsid w:val="0DF00559"/>
    <w:rsid w:val="146C2810"/>
    <w:rsid w:val="15362F0A"/>
    <w:rsid w:val="21BD4E42"/>
    <w:rsid w:val="4E1857AC"/>
    <w:rsid w:val="55230401"/>
    <w:rsid w:val="59881C95"/>
    <w:rsid w:val="7311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995</Words>
  <Characters>1241</Characters>
  <Lines>9</Lines>
  <Paragraphs>2</Paragraphs>
  <TotalTime>103</TotalTime>
  <ScaleCrop>false</ScaleCrop>
  <LinksUpToDate>false</LinksUpToDate>
  <CharactersWithSpaces>1251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2025-10-16T07:41:00Z</dcterms:created>
  <dc:creator>Administrator</dc:creator>
  <cp:lastModifiedBy>木木</cp:lastModifiedBy>
  <cp:lastPrinted>2025-10-20T10:44:00Z</cp:lastPrinted>
  <dcterms:modified xsi:type="dcterms:W3CDTF">2025-11-22T03:06:52Z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56F1E487771C456D88249FE4F07E6D9F_13</vt:lpwstr>
  </property>
</Properties>
</file>